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中国国际贸易促进委员会商业行业委员会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团体标准编号</w:t>
      </w:r>
    </w:p>
    <w:p>
      <w:pPr>
        <w:ind w:right="-58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2"/>
        <w:tblW w:w="11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041"/>
        <w:gridCol w:w="497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</w:rPr>
              <w:t>标准编号</w:t>
            </w:r>
          </w:p>
        </w:tc>
        <w:tc>
          <w:tcPr>
            <w:tcW w:w="497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</w:rPr>
              <w:t>标准名称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T/CCPITCSC 129—2023</w:t>
            </w:r>
          </w:p>
        </w:tc>
        <w:tc>
          <w:tcPr>
            <w:tcW w:w="497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跨境品牌经理人职业能力要求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20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23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Tc4ZGFhNDI5NWFiNjk4OTFmYzhiNWZkMTgxNTAifQ=="/>
  </w:docVars>
  <w:rsids>
    <w:rsidRoot w:val="0EF024AB"/>
    <w:rsid w:val="0EF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2023-09-06T09:32:00Z</dcterms:created>
  <dc:creator>不将就</dc:creator>
  <cp:lastModifiedBy>不将就</cp:lastModifiedBy>
  <dcterms:modified xsi:type="dcterms:W3CDTF">2023-09-06T09:32:36Z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DF9E0FBE0BFE4419A7FC6732CAF55366_11</vt:lpwstr>
  </property>
</Properties>
</file>